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5A3C" w14:textId="77777777" w:rsidR="00495A80" w:rsidRDefault="00000000">
      <w:pPr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附件2</w:t>
      </w:r>
    </w:p>
    <w:p w14:paraId="33691BA6" w14:textId="251C36E6" w:rsidR="00495A80" w:rsidRDefault="00000000">
      <w:pPr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202</w:t>
      </w:r>
      <w:r w:rsidR="00993BFA">
        <w:rPr>
          <w:rFonts w:ascii="宋体" w:hAnsi="宋体" w:cs="宋体" w:hint="eastAsia"/>
          <w:b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sz w:val="36"/>
          <w:szCs w:val="36"/>
        </w:rPr>
        <w:t>年度浙江省房地产估价机构</w:t>
      </w:r>
    </w:p>
    <w:p w14:paraId="4F797DD5" w14:textId="77777777" w:rsidR="00495A80" w:rsidRDefault="00000000">
      <w:pPr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信息采集表（一级机构）</w:t>
      </w:r>
    </w:p>
    <w:p w14:paraId="17A594AC" w14:textId="77777777" w:rsidR="00495A80" w:rsidRDefault="00495A80">
      <w:pPr>
        <w:jc w:val="center"/>
        <w:rPr>
          <w:rFonts w:ascii="仿宋_GB2312" w:eastAsia="仿宋_GB2312"/>
          <w:b/>
          <w:sz w:val="44"/>
          <w:szCs w:val="44"/>
        </w:rPr>
      </w:pPr>
    </w:p>
    <w:p w14:paraId="2C9DBF8C" w14:textId="77777777" w:rsidR="00495A80" w:rsidRDefault="00000000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*本表数据直接通过系统填报，无需纸质报送。</w:t>
      </w:r>
    </w:p>
    <w:tbl>
      <w:tblPr>
        <w:tblW w:w="9533" w:type="dxa"/>
        <w:tblInd w:w="-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2366"/>
        <w:gridCol w:w="2484"/>
        <w:gridCol w:w="1949"/>
      </w:tblGrid>
      <w:tr w:rsidR="00495A80" w14:paraId="79EFF8D5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91BD" w14:textId="77777777" w:rsidR="00495A80" w:rsidRDefault="00000000">
            <w:pPr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41F6" w14:textId="77777777" w:rsidR="00495A80" w:rsidRDefault="00495A80">
            <w:pPr>
              <w:jc w:val="center"/>
            </w:pPr>
          </w:p>
        </w:tc>
      </w:tr>
      <w:tr w:rsidR="00495A80" w14:paraId="5CFFE7C1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24C3" w14:textId="77777777" w:rsidR="00495A80" w:rsidRDefault="00000000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CE13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C28C" w14:textId="77777777" w:rsidR="00495A80" w:rsidRDefault="00000000">
            <w:pPr>
              <w:jc w:val="center"/>
            </w:pPr>
            <w:r>
              <w:rPr>
                <w:rFonts w:hint="eastAsia"/>
              </w:rPr>
              <w:t>备案等级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F294" w14:textId="77777777" w:rsidR="00495A80" w:rsidRDefault="00495A80">
            <w:pPr>
              <w:jc w:val="center"/>
            </w:pPr>
          </w:p>
        </w:tc>
      </w:tr>
      <w:tr w:rsidR="00495A80" w14:paraId="4A74E1BF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7716" w14:textId="77777777" w:rsidR="00495A80" w:rsidRDefault="00000000">
            <w:pPr>
              <w:jc w:val="center"/>
            </w:pPr>
            <w:r>
              <w:rPr>
                <w:rFonts w:hint="eastAsia"/>
              </w:rPr>
              <w:t>总公司员工人数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D5C1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399" w14:textId="77777777" w:rsidR="00495A80" w:rsidRDefault="00000000">
            <w:pPr>
              <w:jc w:val="center"/>
            </w:pPr>
            <w:r>
              <w:rPr>
                <w:rFonts w:hint="eastAsia"/>
              </w:rPr>
              <w:t>总公司估价师人数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7AEB" w14:textId="77777777" w:rsidR="00495A80" w:rsidRDefault="00495A80">
            <w:pPr>
              <w:jc w:val="center"/>
            </w:pPr>
          </w:p>
        </w:tc>
      </w:tr>
      <w:tr w:rsidR="00495A80" w14:paraId="6D5D2B48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C60B" w14:textId="77777777" w:rsidR="00495A8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分公司数量（家）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81D3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F4BB" w14:textId="77777777" w:rsidR="00495A80" w:rsidRDefault="00000000">
            <w:pPr>
              <w:jc w:val="center"/>
            </w:pPr>
            <w:r>
              <w:rPr>
                <w:rFonts w:hint="eastAsia"/>
              </w:rPr>
              <w:t>分公司估价师总人数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B028" w14:textId="77777777" w:rsidR="00495A80" w:rsidRDefault="00495A80">
            <w:pPr>
              <w:jc w:val="center"/>
            </w:pPr>
          </w:p>
        </w:tc>
      </w:tr>
      <w:tr w:rsidR="00495A80" w14:paraId="01C2A050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34A8" w14:textId="77777777" w:rsidR="00495A80" w:rsidRDefault="00000000">
            <w:pPr>
              <w:jc w:val="center"/>
            </w:pPr>
            <w:r>
              <w:rPr>
                <w:rFonts w:hint="eastAsia"/>
              </w:rPr>
              <w:t>资产总计（万元）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B3C9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00E3" w14:textId="77777777" w:rsidR="00495A80" w:rsidRDefault="00000000">
            <w:pPr>
              <w:jc w:val="center"/>
            </w:pPr>
            <w:r>
              <w:rPr>
                <w:rFonts w:hint="eastAsia"/>
              </w:rPr>
              <w:t>负债（万元）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FFD8" w14:textId="77777777" w:rsidR="00495A80" w:rsidRDefault="00495A80">
            <w:pPr>
              <w:jc w:val="center"/>
            </w:pPr>
          </w:p>
        </w:tc>
      </w:tr>
      <w:tr w:rsidR="00495A80" w14:paraId="03DDD87F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1630" w14:textId="77777777" w:rsidR="00495A80" w:rsidRDefault="00000000">
            <w:pPr>
              <w:jc w:val="center"/>
            </w:pPr>
            <w:r>
              <w:rPr>
                <w:rFonts w:hint="eastAsia"/>
              </w:rPr>
              <w:t>所有者权益（万元）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1CB4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0211" w14:textId="77777777" w:rsidR="00495A80" w:rsidRDefault="00000000">
            <w:pPr>
              <w:jc w:val="center"/>
            </w:pPr>
            <w:r>
              <w:rPr>
                <w:rFonts w:hint="eastAsia"/>
              </w:rPr>
              <w:t>总公司营业收入</w:t>
            </w:r>
          </w:p>
          <w:p w14:paraId="34224927" w14:textId="77777777" w:rsidR="00495A80" w:rsidRDefault="00000000">
            <w:pPr>
              <w:jc w:val="center"/>
            </w:pPr>
            <w:r>
              <w:rPr>
                <w:rFonts w:hint="eastAsia"/>
              </w:rPr>
              <w:t>合计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含增值税</w:t>
            </w:r>
            <w:r>
              <w:rPr>
                <w:rFonts w:hint="eastAsia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D2C7" w14:textId="77777777" w:rsidR="00495A80" w:rsidRDefault="00495A80">
            <w:pPr>
              <w:jc w:val="center"/>
            </w:pPr>
          </w:p>
        </w:tc>
      </w:tr>
      <w:tr w:rsidR="00495A80" w14:paraId="306CA3E1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2709" w14:textId="77777777" w:rsidR="00495A80" w:rsidRDefault="00000000">
            <w:pPr>
              <w:jc w:val="center"/>
            </w:pPr>
            <w:r>
              <w:rPr>
                <w:rFonts w:hint="eastAsia"/>
              </w:rPr>
              <w:t>总公司营业收入合计</w:t>
            </w:r>
          </w:p>
          <w:p w14:paraId="4D918551" w14:textId="77777777" w:rsidR="00495A80" w:rsidRDefault="0000000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不含增值税</w:t>
            </w:r>
            <w:r>
              <w:rPr>
                <w:rFonts w:hint="eastAsia"/>
              </w:rPr>
              <w:t>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037E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D258" w14:textId="77777777" w:rsidR="00495A80" w:rsidRDefault="00000000">
            <w:pPr>
              <w:jc w:val="center"/>
            </w:pPr>
            <w:r>
              <w:rPr>
                <w:rFonts w:hint="eastAsia"/>
              </w:rPr>
              <w:t>总公司完税额（万元）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A87D" w14:textId="77777777" w:rsidR="00495A80" w:rsidRDefault="00495A80">
            <w:pPr>
              <w:jc w:val="center"/>
            </w:pPr>
          </w:p>
        </w:tc>
      </w:tr>
      <w:tr w:rsidR="00495A80" w14:paraId="091E3217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9230" w14:textId="77777777" w:rsidR="00495A80" w:rsidRDefault="00000000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0005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EE9F" w14:textId="77777777" w:rsidR="00495A80" w:rsidRDefault="00000000">
            <w:pPr>
              <w:jc w:val="center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7933" w14:textId="77777777" w:rsidR="00495A80" w:rsidRDefault="00495A80">
            <w:pPr>
              <w:jc w:val="center"/>
            </w:pPr>
          </w:p>
        </w:tc>
      </w:tr>
    </w:tbl>
    <w:p w14:paraId="5A40D8E9" w14:textId="77777777" w:rsidR="00495A80" w:rsidRDefault="00495A80">
      <w:pPr>
        <w:rPr>
          <w:rFonts w:ascii="宋体" w:hAnsi="宋体" w:hint="eastAsia"/>
        </w:rPr>
      </w:pPr>
    </w:p>
    <w:p w14:paraId="5E7DF6A5" w14:textId="77777777" w:rsidR="00495A80" w:rsidRDefault="00000000">
      <w:pPr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以下均为总公司数据，不含分公司数据</w:t>
      </w:r>
    </w:p>
    <w:tbl>
      <w:tblPr>
        <w:tblW w:w="9566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667"/>
        <w:gridCol w:w="1583"/>
        <w:gridCol w:w="1500"/>
        <w:gridCol w:w="1500"/>
        <w:gridCol w:w="1500"/>
        <w:gridCol w:w="1233"/>
      </w:tblGrid>
      <w:tr w:rsidR="00495A80" w14:paraId="694CE8F6" w14:textId="77777777">
        <w:trPr>
          <w:trHeight w:val="834"/>
        </w:trPr>
        <w:tc>
          <w:tcPr>
            <w:tcW w:w="583" w:type="dxa"/>
            <w:vAlign w:val="center"/>
          </w:tcPr>
          <w:p w14:paraId="6311A2E3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序</w:t>
            </w:r>
          </w:p>
        </w:tc>
        <w:tc>
          <w:tcPr>
            <w:tcW w:w="1667" w:type="dxa"/>
            <w:vAlign w:val="center"/>
          </w:tcPr>
          <w:p w14:paraId="0ACD886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业务类型</w:t>
            </w:r>
          </w:p>
        </w:tc>
        <w:tc>
          <w:tcPr>
            <w:tcW w:w="1583" w:type="dxa"/>
            <w:vAlign w:val="center"/>
          </w:tcPr>
          <w:p w14:paraId="7DCBD131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总公司营业</w:t>
            </w:r>
          </w:p>
          <w:p w14:paraId="618FCD02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收入（万元整）</w:t>
            </w:r>
          </w:p>
          <w:p w14:paraId="5C51ED2A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含增值税</w:t>
            </w:r>
            <w:r>
              <w:rPr>
                <w:rFonts w:hint="eastAsia"/>
              </w:rPr>
              <w:t>)</w:t>
            </w:r>
          </w:p>
        </w:tc>
        <w:tc>
          <w:tcPr>
            <w:tcW w:w="1500" w:type="dxa"/>
            <w:vAlign w:val="center"/>
          </w:tcPr>
          <w:p w14:paraId="5C71CEE6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评估报告</w:t>
            </w:r>
          </w:p>
          <w:p w14:paraId="1223501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总份数</w:t>
            </w:r>
          </w:p>
        </w:tc>
        <w:tc>
          <w:tcPr>
            <w:tcW w:w="1500" w:type="dxa"/>
            <w:vAlign w:val="center"/>
          </w:tcPr>
          <w:p w14:paraId="24CF77DB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评估总价值</w:t>
            </w:r>
          </w:p>
          <w:p w14:paraId="78D90E46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（万元整）</w:t>
            </w:r>
          </w:p>
        </w:tc>
        <w:tc>
          <w:tcPr>
            <w:tcW w:w="1500" w:type="dxa"/>
            <w:vAlign w:val="center"/>
          </w:tcPr>
          <w:p w14:paraId="19F7F894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评估对象</w:t>
            </w:r>
          </w:p>
          <w:p w14:paraId="3B4B5D66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总建筑面积</w:t>
            </w:r>
          </w:p>
          <w:p w14:paraId="5536DB7F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（平方米）</w:t>
            </w:r>
          </w:p>
        </w:tc>
        <w:tc>
          <w:tcPr>
            <w:tcW w:w="1233" w:type="dxa"/>
            <w:vAlign w:val="center"/>
          </w:tcPr>
          <w:p w14:paraId="4B5640B8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评估土地面积</w:t>
            </w:r>
          </w:p>
          <w:p w14:paraId="3E72070A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（平方米）</w:t>
            </w:r>
          </w:p>
        </w:tc>
      </w:tr>
      <w:tr w:rsidR="00495A80" w14:paraId="7CED2128" w14:textId="77777777">
        <w:trPr>
          <w:trHeight w:val="822"/>
        </w:trPr>
        <w:tc>
          <w:tcPr>
            <w:tcW w:w="583" w:type="dxa"/>
            <w:tcBorders>
              <w:right w:val="nil"/>
            </w:tcBorders>
            <w:vAlign w:val="center"/>
          </w:tcPr>
          <w:p w14:paraId="16868A91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2D09244A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土地使用权</w:t>
            </w:r>
          </w:p>
          <w:p w14:paraId="0D591D6D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价格评估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5474FB75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50317D59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74F12053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1500" w:type="dxa"/>
            <w:vAlign w:val="center"/>
          </w:tcPr>
          <w:p w14:paraId="1E23E7B9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1233" w:type="dxa"/>
            <w:vAlign w:val="center"/>
          </w:tcPr>
          <w:p w14:paraId="2F37C888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</w:tr>
      <w:tr w:rsidR="00495A80" w14:paraId="7336524F" w14:textId="77777777">
        <w:trPr>
          <w:trHeight w:val="834"/>
        </w:trPr>
        <w:tc>
          <w:tcPr>
            <w:tcW w:w="583" w:type="dxa"/>
            <w:vAlign w:val="center"/>
          </w:tcPr>
          <w:p w14:paraId="1C130366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2F2CBFCB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房地产转让</w:t>
            </w:r>
          </w:p>
          <w:p w14:paraId="2B23F475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价格评估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0426B9AF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5E432D81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08E60178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00320AD4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61D2F380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37022A35" w14:textId="77777777">
        <w:trPr>
          <w:trHeight w:val="702"/>
        </w:trPr>
        <w:tc>
          <w:tcPr>
            <w:tcW w:w="583" w:type="dxa"/>
            <w:vAlign w:val="center"/>
          </w:tcPr>
          <w:p w14:paraId="2DD5BA2A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5305E0B7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房地产抵押</w:t>
            </w:r>
          </w:p>
          <w:p w14:paraId="63611CED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价值评估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6EADD065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2075A397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6D73758C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4DABEC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38554E34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1BC81799" w14:textId="77777777">
        <w:trPr>
          <w:trHeight w:val="702"/>
        </w:trPr>
        <w:tc>
          <w:tcPr>
            <w:tcW w:w="583" w:type="dxa"/>
            <w:vAlign w:val="center"/>
          </w:tcPr>
          <w:p w14:paraId="2170AEC8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7EB7223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国有土地上</w:t>
            </w:r>
          </w:p>
          <w:p w14:paraId="42236CC8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房屋征收评估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4FAD28B6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2228A465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79CCCBA3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DEE0834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4169C624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17933AF0" w14:textId="77777777">
        <w:trPr>
          <w:trHeight w:val="702"/>
        </w:trPr>
        <w:tc>
          <w:tcPr>
            <w:tcW w:w="583" w:type="dxa"/>
            <w:vAlign w:val="center"/>
          </w:tcPr>
          <w:p w14:paraId="7B7E29E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5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3048E1E1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国有土地上</w:t>
            </w:r>
          </w:p>
          <w:p w14:paraId="5EC28FEF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房屋收购评估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42E76F60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27E4254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15679D15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1C36C174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779BC19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17CACAFD" w14:textId="77777777">
        <w:trPr>
          <w:trHeight w:val="702"/>
        </w:trPr>
        <w:tc>
          <w:tcPr>
            <w:tcW w:w="583" w:type="dxa"/>
            <w:vAlign w:val="center"/>
          </w:tcPr>
          <w:p w14:paraId="242A4237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5900D560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集体土地征收</w:t>
            </w:r>
          </w:p>
          <w:p w14:paraId="3560B0ED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补偿评估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0D48A6F7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4B5F1D6A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7B827C41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21DD3556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8F53FC7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601FD63C" w14:textId="77777777">
        <w:trPr>
          <w:trHeight w:val="660"/>
        </w:trPr>
        <w:tc>
          <w:tcPr>
            <w:tcW w:w="583" w:type="dxa"/>
            <w:vAlign w:val="center"/>
          </w:tcPr>
          <w:p w14:paraId="42776158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7AB8BA2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房地产</w:t>
            </w:r>
          </w:p>
          <w:p w14:paraId="1B96A305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司法评估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0A1DC470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4B071A5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6006CDE2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6CF881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A5A261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2932BA6C" w14:textId="77777777">
        <w:trPr>
          <w:trHeight w:val="880"/>
        </w:trPr>
        <w:tc>
          <w:tcPr>
            <w:tcW w:w="583" w:type="dxa"/>
            <w:vAlign w:val="center"/>
          </w:tcPr>
          <w:p w14:paraId="61C5FE6B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8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7C810165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房屋租赁</w:t>
            </w:r>
          </w:p>
          <w:p w14:paraId="40F5821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价格评估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5F6C82BB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50833B5A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31B42FA2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12E74B07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3FF0EABF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4A84093A" w14:textId="77777777">
        <w:trPr>
          <w:trHeight w:val="852"/>
        </w:trPr>
        <w:tc>
          <w:tcPr>
            <w:tcW w:w="583" w:type="dxa"/>
            <w:vAlign w:val="center"/>
          </w:tcPr>
          <w:p w14:paraId="3873F777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9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6610F730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其他目的</w:t>
            </w:r>
          </w:p>
          <w:p w14:paraId="1AE35361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房地产评估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6946F632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617EF24A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16E0F304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1527F7A2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4F568C2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694A8BDF" w14:textId="77777777">
        <w:trPr>
          <w:trHeight w:val="822"/>
        </w:trPr>
        <w:tc>
          <w:tcPr>
            <w:tcW w:w="583" w:type="dxa"/>
            <w:vAlign w:val="center"/>
          </w:tcPr>
          <w:p w14:paraId="5CA0BF7B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</w:t>
            </w:r>
          </w:p>
        </w:tc>
        <w:tc>
          <w:tcPr>
            <w:tcW w:w="1667" w:type="dxa"/>
            <w:vAlign w:val="center"/>
          </w:tcPr>
          <w:p w14:paraId="35629C2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房地产</w:t>
            </w:r>
          </w:p>
          <w:p w14:paraId="6A90520F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咨询服务</w:t>
            </w:r>
          </w:p>
        </w:tc>
        <w:tc>
          <w:tcPr>
            <w:tcW w:w="1583" w:type="dxa"/>
            <w:vAlign w:val="center"/>
          </w:tcPr>
          <w:p w14:paraId="79EA3436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92C6E8D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86515A8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7702F31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2E58AC62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32137B4F" w14:textId="77777777">
        <w:trPr>
          <w:trHeight w:val="822"/>
        </w:trPr>
        <w:tc>
          <w:tcPr>
            <w:tcW w:w="583" w:type="dxa"/>
            <w:vAlign w:val="center"/>
          </w:tcPr>
          <w:p w14:paraId="50DC161F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11</w:t>
            </w:r>
          </w:p>
        </w:tc>
        <w:tc>
          <w:tcPr>
            <w:tcW w:w="1667" w:type="dxa"/>
            <w:vAlign w:val="center"/>
          </w:tcPr>
          <w:p w14:paraId="70485BC4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其他业务收入</w:t>
            </w:r>
          </w:p>
        </w:tc>
        <w:tc>
          <w:tcPr>
            <w:tcW w:w="1583" w:type="dxa"/>
            <w:vAlign w:val="center"/>
          </w:tcPr>
          <w:p w14:paraId="5796BA2D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AEBDD43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26F5DCC3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03853E1A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22A13E2F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</w:tbl>
    <w:p w14:paraId="762FB5A1" w14:textId="77777777" w:rsidR="00495A80" w:rsidRDefault="00495A80">
      <w:pPr>
        <w:rPr>
          <w:rFonts w:ascii="宋体" w:hAnsi="宋体" w:hint="eastAsia"/>
        </w:rPr>
      </w:pPr>
    </w:p>
    <w:p w14:paraId="526C8334" w14:textId="77777777" w:rsidR="00495A80" w:rsidRDefault="00495A80">
      <w:pPr>
        <w:rPr>
          <w:rFonts w:ascii="宋体" w:hAnsi="宋体" w:hint="eastAsia"/>
        </w:rPr>
      </w:pPr>
    </w:p>
    <w:p w14:paraId="4B475009" w14:textId="77777777" w:rsidR="00495A80" w:rsidRDefault="00000000">
      <w:pPr>
        <w:spacing w:line="560" w:lineRule="exact"/>
        <w:rPr>
          <w:rFonts w:ascii="宋体" w:hAnsi="宋体" w:hint="eastAsia"/>
        </w:rPr>
      </w:pPr>
      <w:r>
        <w:rPr>
          <w:rFonts w:ascii="宋体" w:hAnsi="宋体" w:hint="eastAsia"/>
        </w:rPr>
        <w:t>附件：</w:t>
      </w:r>
    </w:p>
    <w:p w14:paraId="47E3933E" w14:textId="77777777" w:rsidR="00495A80" w:rsidRDefault="00000000">
      <w:pPr>
        <w:spacing w:line="560" w:lineRule="exact"/>
        <w:rPr>
          <w:rFonts w:ascii="宋体" w:hAnsi="宋体" w:hint="eastAsia"/>
        </w:rPr>
      </w:pPr>
      <w:r>
        <w:rPr>
          <w:rFonts w:ascii="宋体" w:hAnsi="宋体" w:hint="eastAsia"/>
        </w:rPr>
        <w:t>1.总公司《资产负债表》</w:t>
      </w:r>
    </w:p>
    <w:p w14:paraId="3759C977" w14:textId="77777777" w:rsidR="00495A80" w:rsidRDefault="00000000">
      <w:pPr>
        <w:spacing w:line="560" w:lineRule="exact"/>
        <w:rPr>
          <w:rFonts w:ascii="宋体" w:hAnsi="宋体" w:hint="eastAsia"/>
        </w:rPr>
      </w:pPr>
      <w:r>
        <w:rPr>
          <w:rFonts w:ascii="宋体" w:hAnsi="宋体" w:hint="eastAsia"/>
        </w:rPr>
        <w:t>2.总公司《利润表》</w:t>
      </w:r>
    </w:p>
    <w:p w14:paraId="7A104DAC" w14:textId="77777777" w:rsidR="00495A80" w:rsidRDefault="00000000">
      <w:pPr>
        <w:spacing w:line="560" w:lineRule="exact"/>
        <w:rPr>
          <w:rFonts w:ascii="宋体" w:hAnsi="宋体" w:hint="eastAsia"/>
        </w:rPr>
      </w:pPr>
      <w:r>
        <w:rPr>
          <w:rFonts w:ascii="宋体" w:hAnsi="宋体" w:hint="eastAsia"/>
        </w:rPr>
        <w:t>3.总公司《税收完税证明》</w:t>
      </w:r>
    </w:p>
    <w:p w14:paraId="292CE2F8" w14:textId="77777777" w:rsidR="00495A80" w:rsidRDefault="00495A80">
      <w:pPr>
        <w:rPr>
          <w:rFonts w:ascii="宋体" w:hAnsi="宋体" w:hint="eastAsia"/>
        </w:rPr>
      </w:pPr>
    </w:p>
    <w:p w14:paraId="2DBCE1F4" w14:textId="77777777" w:rsidR="00495A80" w:rsidRDefault="00495A80">
      <w:pPr>
        <w:rPr>
          <w:rFonts w:ascii="宋体" w:hAnsi="宋体" w:hint="eastAsia"/>
        </w:rPr>
      </w:pPr>
    </w:p>
    <w:p w14:paraId="32D77F7D" w14:textId="77777777" w:rsidR="00495A80" w:rsidRDefault="00495A80">
      <w:pPr>
        <w:rPr>
          <w:rFonts w:ascii="宋体" w:hAnsi="宋体" w:hint="eastAsia"/>
        </w:rPr>
      </w:pPr>
    </w:p>
    <w:p w14:paraId="513EC4B6" w14:textId="77777777" w:rsidR="00495A80" w:rsidRDefault="00495A80">
      <w:pPr>
        <w:rPr>
          <w:rFonts w:ascii="宋体" w:hAnsi="宋体" w:hint="eastAsia"/>
        </w:rPr>
      </w:pPr>
    </w:p>
    <w:p w14:paraId="7BFCE8D6" w14:textId="77777777" w:rsidR="00495A80" w:rsidRDefault="00495A80">
      <w:pPr>
        <w:rPr>
          <w:rFonts w:ascii="仿宋_GB2312" w:eastAsia="仿宋_GB2312" w:hAnsi="宋体" w:hint="eastAsia"/>
          <w:sz w:val="30"/>
          <w:szCs w:val="30"/>
        </w:rPr>
      </w:pPr>
    </w:p>
    <w:p w14:paraId="09B37F51" w14:textId="77777777" w:rsidR="00495A80" w:rsidRDefault="00495A80">
      <w:pPr>
        <w:rPr>
          <w:rFonts w:ascii="仿宋_GB2312" w:eastAsia="仿宋_GB2312" w:hAnsi="宋体" w:hint="eastAsia"/>
          <w:sz w:val="30"/>
          <w:szCs w:val="30"/>
        </w:rPr>
      </w:pPr>
    </w:p>
    <w:p w14:paraId="706A593B" w14:textId="77777777" w:rsidR="00495A80" w:rsidRDefault="00495A80">
      <w:pPr>
        <w:rPr>
          <w:rFonts w:ascii="仿宋_GB2312" w:eastAsia="仿宋_GB2312" w:hAnsi="宋体" w:hint="eastAsia"/>
          <w:sz w:val="30"/>
          <w:szCs w:val="30"/>
        </w:rPr>
      </w:pPr>
    </w:p>
    <w:p w14:paraId="64351426" w14:textId="77777777" w:rsidR="00495A80" w:rsidRDefault="00495A80">
      <w:pPr>
        <w:rPr>
          <w:rFonts w:ascii="仿宋_GB2312" w:eastAsia="仿宋_GB2312" w:hAnsi="宋体" w:hint="eastAsia"/>
          <w:sz w:val="30"/>
          <w:szCs w:val="30"/>
        </w:rPr>
      </w:pPr>
    </w:p>
    <w:p w14:paraId="4C92E5EA" w14:textId="77777777" w:rsidR="00495A80" w:rsidRDefault="00495A80">
      <w:pPr>
        <w:rPr>
          <w:rFonts w:ascii="仿宋_GB2312" w:eastAsia="仿宋_GB2312" w:hAnsi="宋体" w:hint="eastAsia"/>
          <w:sz w:val="30"/>
          <w:szCs w:val="30"/>
        </w:rPr>
      </w:pPr>
    </w:p>
    <w:p w14:paraId="51AE35B6" w14:textId="77777777" w:rsidR="00495A80" w:rsidRDefault="00495A80">
      <w:pPr>
        <w:rPr>
          <w:rFonts w:ascii="仿宋_GB2312" w:eastAsia="仿宋_GB2312" w:hAnsi="宋体" w:hint="eastAsia"/>
          <w:sz w:val="30"/>
          <w:szCs w:val="30"/>
        </w:rPr>
      </w:pPr>
    </w:p>
    <w:p w14:paraId="53926E83" w14:textId="77777777" w:rsidR="00495A80" w:rsidRDefault="00495A80">
      <w:pPr>
        <w:rPr>
          <w:rFonts w:ascii="仿宋_GB2312" w:eastAsia="仿宋_GB2312" w:hAnsi="宋体" w:hint="eastAsia"/>
          <w:sz w:val="30"/>
          <w:szCs w:val="30"/>
        </w:rPr>
      </w:pPr>
    </w:p>
    <w:p w14:paraId="029C1E14" w14:textId="77777777" w:rsidR="00495A80" w:rsidRDefault="00495A80">
      <w:pPr>
        <w:rPr>
          <w:rFonts w:ascii="仿宋_GB2312" w:eastAsia="仿宋_GB2312" w:hAnsi="宋体" w:hint="eastAsia"/>
          <w:sz w:val="30"/>
          <w:szCs w:val="30"/>
        </w:rPr>
      </w:pPr>
    </w:p>
    <w:p w14:paraId="2709D18F" w14:textId="77777777" w:rsidR="00495A80" w:rsidRDefault="00495A80">
      <w:pPr>
        <w:rPr>
          <w:rFonts w:ascii="仿宋_GB2312" w:eastAsia="仿宋_GB2312" w:hAnsi="宋体" w:hint="eastAsia"/>
          <w:sz w:val="30"/>
          <w:szCs w:val="30"/>
        </w:rPr>
      </w:pPr>
    </w:p>
    <w:p w14:paraId="0AC89623" w14:textId="3F7CA836" w:rsidR="00495A80" w:rsidRDefault="00000000">
      <w:pPr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202</w:t>
      </w:r>
      <w:r w:rsidR="00993BFA">
        <w:rPr>
          <w:rFonts w:ascii="宋体" w:hAnsi="宋体" w:cs="宋体" w:hint="eastAsia"/>
          <w:b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sz w:val="44"/>
          <w:szCs w:val="44"/>
        </w:rPr>
        <w:t>年度浙江省房地产估价机构</w:t>
      </w:r>
    </w:p>
    <w:p w14:paraId="21065F0E" w14:textId="77777777" w:rsidR="00495A80" w:rsidRDefault="00000000">
      <w:pPr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信息采集表（非一级机构）</w:t>
      </w:r>
    </w:p>
    <w:p w14:paraId="55E20B6B" w14:textId="77777777" w:rsidR="00495A80" w:rsidRDefault="00495A80">
      <w:pPr>
        <w:jc w:val="center"/>
        <w:rPr>
          <w:rFonts w:ascii="仿宋_GB2312" w:eastAsia="仿宋_GB2312"/>
          <w:b/>
          <w:sz w:val="44"/>
          <w:szCs w:val="44"/>
        </w:rPr>
      </w:pPr>
    </w:p>
    <w:p w14:paraId="07286369" w14:textId="77777777" w:rsidR="00495A80" w:rsidRDefault="00000000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*本表数据直接通过系统填报，无需纸质报送。</w:t>
      </w:r>
    </w:p>
    <w:tbl>
      <w:tblPr>
        <w:tblW w:w="9533" w:type="dxa"/>
        <w:tblInd w:w="-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2366"/>
        <w:gridCol w:w="2484"/>
        <w:gridCol w:w="1949"/>
      </w:tblGrid>
      <w:tr w:rsidR="00495A80" w14:paraId="5117C364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9107" w14:textId="77777777" w:rsidR="00495A80" w:rsidRDefault="00000000">
            <w:pPr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1538" w14:textId="77777777" w:rsidR="00495A80" w:rsidRDefault="00495A80">
            <w:pPr>
              <w:jc w:val="center"/>
            </w:pPr>
          </w:p>
        </w:tc>
      </w:tr>
      <w:tr w:rsidR="00495A80" w14:paraId="2E8D0983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6324" w14:textId="77777777" w:rsidR="00495A80" w:rsidRDefault="00000000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B626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E417" w14:textId="77777777" w:rsidR="00495A80" w:rsidRDefault="00000000">
            <w:pPr>
              <w:jc w:val="center"/>
            </w:pPr>
            <w:r>
              <w:rPr>
                <w:rFonts w:hint="eastAsia"/>
              </w:rPr>
              <w:t>备案等级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F922" w14:textId="77777777" w:rsidR="00495A80" w:rsidRDefault="00495A80">
            <w:pPr>
              <w:jc w:val="center"/>
            </w:pPr>
          </w:p>
        </w:tc>
      </w:tr>
      <w:tr w:rsidR="00495A80" w14:paraId="16DF8718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7556" w14:textId="77777777" w:rsidR="00495A80" w:rsidRDefault="00000000">
            <w:pPr>
              <w:jc w:val="center"/>
            </w:pPr>
            <w:r>
              <w:rPr>
                <w:rFonts w:hint="eastAsia"/>
              </w:rPr>
              <w:t>员工人数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60D4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16AC" w14:textId="77777777" w:rsidR="00495A80" w:rsidRDefault="00000000">
            <w:pPr>
              <w:jc w:val="center"/>
            </w:pPr>
            <w:r>
              <w:rPr>
                <w:rFonts w:hint="eastAsia"/>
              </w:rPr>
              <w:t>房地产估价师人数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FB8E" w14:textId="77777777" w:rsidR="00495A80" w:rsidRDefault="00495A80">
            <w:pPr>
              <w:jc w:val="center"/>
            </w:pPr>
          </w:p>
        </w:tc>
      </w:tr>
      <w:tr w:rsidR="00495A80" w14:paraId="2E97A620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92ED" w14:textId="77777777" w:rsidR="00495A80" w:rsidRDefault="00000000">
            <w:pPr>
              <w:jc w:val="center"/>
            </w:pPr>
            <w:r>
              <w:rPr>
                <w:rFonts w:hint="eastAsia"/>
              </w:rPr>
              <w:t>资产总计（万元）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C87D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8EB8" w14:textId="77777777" w:rsidR="00495A80" w:rsidRDefault="00000000">
            <w:pPr>
              <w:jc w:val="center"/>
            </w:pPr>
            <w:r>
              <w:rPr>
                <w:rFonts w:hint="eastAsia"/>
              </w:rPr>
              <w:t>负债（万元）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CA52" w14:textId="77777777" w:rsidR="00495A80" w:rsidRDefault="00495A80">
            <w:pPr>
              <w:jc w:val="center"/>
            </w:pPr>
          </w:p>
        </w:tc>
      </w:tr>
      <w:tr w:rsidR="00495A80" w14:paraId="3E876FEF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7BD7" w14:textId="77777777" w:rsidR="00495A80" w:rsidRDefault="00000000">
            <w:pPr>
              <w:jc w:val="center"/>
            </w:pPr>
            <w:r>
              <w:rPr>
                <w:rFonts w:hint="eastAsia"/>
              </w:rPr>
              <w:t>所有者权益（万元）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2EB7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64CF" w14:textId="77777777" w:rsidR="00495A80" w:rsidRDefault="00000000">
            <w:pPr>
              <w:jc w:val="center"/>
            </w:pPr>
            <w:r>
              <w:rPr>
                <w:rFonts w:hint="eastAsia"/>
              </w:rPr>
              <w:t>营业收入合计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)</w:t>
            </w:r>
          </w:p>
          <w:p w14:paraId="3CE42972" w14:textId="77777777" w:rsidR="00495A80" w:rsidRDefault="0000000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含增值税</w:t>
            </w:r>
            <w:r>
              <w:rPr>
                <w:rFonts w:hint="eastAsia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9065" w14:textId="77777777" w:rsidR="00495A80" w:rsidRDefault="00495A80">
            <w:pPr>
              <w:jc w:val="center"/>
            </w:pPr>
          </w:p>
        </w:tc>
      </w:tr>
      <w:tr w:rsidR="00495A80" w14:paraId="07A07467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65B8" w14:textId="77777777" w:rsidR="00495A80" w:rsidRDefault="00000000">
            <w:pPr>
              <w:jc w:val="center"/>
            </w:pPr>
            <w:r>
              <w:rPr>
                <w:rFonts w:hint="eastAsia"/>
              </w:rPr>
              <w:t>营业收入合计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)</w:t>
            </w:r>
          </w:p>
          <w:p w14:paraId="5C94F7A0" w14:textId="77777777" w:rsidR="00495A80" w:rsidRDefault="0000000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不含增值税）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EF7C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A959" w14:textId="77777777" w:rsidR="00495A80" w:rsidRDefault="00000000">
            <w:pPr>
              <w:jc w:val="center"/>
            </w:pPr>
            <w:r>
              <w:rPr>
                <w:rFonts w:hint="eastAsia"/>
              </w:rPr>
              <w:t>完税额（万元）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C853" w14:textId="77777777" w:rsidR="00495A80" w:rsidRDefault="00495A80">
            <w:pPr>
              <w:jc w:val="center"/>
            </w:pPr>
          </w:p>
        </w:tc>
      </w:tr>
      <w:tr w:rsidR="00495A80" w14:paraId="7AFCC780" w14:textId="77777777">
        <w:trPr>
          <w:cantSplit/>
          <w:trHeight w:val="68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F5C" w14:textId="77777777" w:rsidR="00495A80" w:rsidRDefault="00000000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B70" w14:textId="77777777" w:rsidR="00495A80" w:rsidRDefault="00495A80">
            <w:pPr>
              <w:jc w:val="center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8D15" w14:textId="77777777" w:rsidR="00495A80" w:rsidRDefault="00000000">
            <w:pPr>
              <w:jc w:val="center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8531" w14:textId="77777777" w:rsidR="00495A80" w:rsidRDefault="00495A80">
            <w:pPr>
              <w:jc w:val="center"/>
            </w:pPr>
          </w:p>
        </w:tc>
      </w:tr>
    </w:tbl>
    <w:p w14:paraId="02A73D21" w14:textId="77777777" w:rsidR="00495A80" w:rsidRDefault="00495A80">
      <w:pPr>
        <w:rPr>
          <w:rFonts w:ascii="宋体" w:hAnsi="宋体" w:hint="eastAsia"/>
        </w:rPr>
      </w:pPr>
    </w:p>
    <w:tbl>
      <w:tblPr>
        <w:tblW w:w="9566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667"/>
        <w:gridCol w:w="1583"/>
        <w:gridCol w:w="1500"/>
        <w:gridCol w:w="1500"/>
        <w:gridCol w:w="1500"/>
        <w:gridCol w:w="1233"/>
      </w:tblGrid>
      <w:tr w:rsidR="00495A80" w14:paraId="0FC48C01" w14:textId="77777777">
        <w:trPr>
          <w:trHeight w:val="834"/>
        </w:trPr>
        <w:tc>
          <w:tcPr>
            <w:tcW w:w="583" w:type="dxa"/>
            <w:vAlign w:val="center"/>
          </w:tcPr>
          <w:p w14:paraId="220C6639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序</w:t>
            </w:r>
          </w:p>
        </w:tc>
        <w:tc>
          <w:tcPr>
            <w:tcW w:w="1667" w:type="dxa"/>
            <w:vAlign w:val="center"/>
          </w:tcPr>
          <w:p w14:paraId="39075C37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业务类型</w:t>
            </w:r>
          </w:p>
        </w:tc>
        <w:tc>
          <w:tcPr>
            <w:tcW w:w="1583" w:type="dxa"/>
            <w:vAlign w:val="center"/>
          </w:tcPr>
          <w:p w14:paraId="24BF0925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营业收入</w:t>
            </w:r>
          </w:p>
          <w:p w14:paraId="430F2BF1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（万元整）</w:t>
            </w:r>
          </w:p>
          <w:p w14:paraId="347EF041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含增值税</w:t>
            </w:r>
            <w:r>
              <w:rPr>
                <w:rFonts w:hint="eastAsia"/>
              </w:rPr>
              <w:t>)</w:t>
            </w:r>
          </w:p>
        </w:tc>
        <w:tc>
          <w:tcPr>
            <w:tcW w:w="1500" w:type="dxa"/>
            <w:vAlign w:val="center"/>
          </w:tcPr>
          <w:p w14:paraId="02CDDE61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评估报告</w:t>
            </w:r>
          </w:p>
          <w:p w14:paraId="4A2D3ECB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总份数</w:t>
            </w:r>
          </w:p>
        </w:tc>
        <w:tc>
          <w:tcPr>
            <w:tcW w:w="1500" w:type="dxa"/>
            <w:vAlign w:val="center"/>
          </w:tcPr>
          <w:p w14:paraId="67DD882F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评估总价值</w:t>
            </w:r>
          </w:p>
          <w:p w14:paraId="711C3CFB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（万元整）</w:t>
            </w:r>
          </w:p>
        </w:tc>
        <w:tc>
          <w:tcPr>
            <w:tcW w:w="1500" w:type="dxa"/>
            <w:vAlign w:val="center"/>
          </w:tcPr>
          <w:p w14:paraId="76C361A1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评估对象</w:t>
            </w:r>
          </w:p>
          <w:p w14:paraId="741E21C9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总建筑面积</w:t>
            </w:r>
          </w:p>
          <w:p w14:paraId="007B8998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（平方米）</w:t>
            </w:r>
          </w:p>
        </w:tc>
        <w:tc>
          <w:tcPr>
            <w:tcW w:w="1233" w:type="dxa"/>
            <w:vAlign w:val="center"/>
          </w:tcPr>
          <w:p w14:paraId="014890BF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评估土地面积</w:t>
            </w:r>
          </w:p>
          <w:p w14:paraId="3D401022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（平方米）</w:t>
            </w:r>
          </w:p>
        </w:tc>
      </w:tr>
      <w:tr w:rsidR="00495A80" w14:paraId="7A6DAD44" w14:textId="77777777">
        <w:trPr>
          <w:trHeight w:val="822"/>
        </w:trPr>
        <w:tc>
          <w:tcPr>
            <w:tcW w:w="583" w:type="dxa"/>
            <w:tcBorders>
              <w:right w:val="nil"/>
            </w:tcBorders>
            <w:vAlign w:val="center"/>
          </w:tcPr>
          <w:p w14:paraId="0CF1BFA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0C6EFD41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土地使用权</w:t>
            </w:r>
          </w:p>
          <w:p w14:paraId="08D1BB98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价格评估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4038BE4B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275DD62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4B3B4C0F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1500" w:type="dxa"/>
            <w:vAlign w:val="center"/>
          </w:tcPr>
          <w:p w14:paraId="0EC6765C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  <w:tc>
          <w:tcPr>
            <w:tcW w:w="1233" w:type="dxa"/>
            <w:vAlign w:val="center"/>
          </w:tcPr>
          <w:p w14:paraId="5C72D9A1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</w:rPr>
            </w:pPr>
          </w:p>
        </w:tc>
      </w:tr>
      <w:tr w:rsidR="00495A80" w14:paraId="0D1808CE" w14:textId="77777777">
        <w:trPr>
          <w:trHeight w:val="834"/>
        </w:trPr>
        <w:tc>
          <w:tcPr>
            <w:tcW w:w="583" w:type="dxa"/>
            <w:vAlign w:val="center"/>
          </w:tcPr>
          <w:p w14:paraId="2CEB57BC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392F3CA8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房地产转让</w:t>
            </w:r>
          </w:p>
          <w:p w14:paraId="61071B8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价格评估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6A2856AD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60AA2F8B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4E3AA38C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D4C1E96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357D930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1E3F70A0" w14:textId="77777777">
        <w:trPr>
          <w:trHeight w:val="702"/>
        </w:trPr>
        <w:tc>
          <w:tcPr>
            <w:tcW w:w="583" w:type="dxa"/>
            <w:vAlign w:val="center"/>
          </w:tcPr>
          <w:p w14:paraId="7A1FF255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4CE384A6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房地产抵押</w:t>
            </w:r>
          </w:p>
          <w:p w14:paraId="4E506A15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价值评估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67EE18AC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1B8E6343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7254933B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B78AE88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5EB1B26F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0494A272" w14:textId="77777777">
        <w:trPr>
          <w:trHeight w:val="702"/>
        </w:trPr>
        <w:tc>
          <w:tcPr>
            <w:tcW w:w="583" w:type="dxa"/>
            <w:vAlign w:val="center"/>
          </w:tcPr>
          <w:p w14:paraId="1D5C2B83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3C9331AC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国有土地上</w:t>
            </w:r>
          </w:p>
          <w:p w14:paraId="40C58316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房屋征收评估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5019C134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1AA8ED19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719620D1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8A7C487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6EEA71E8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03F8F7DE" w14:textId="77777777">
        <w:trPr>
          <w:trHeight w:val="702"/>
        </w:trPr>
        <w:tc>
          <w:tcPr>
            <w:tcW w:w="583" w:type="dxa"/>
            <w:vAlign w:val="center"/>
          </w:tcPr>
          <w:p w14:paraId="798F57C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lastRenderedPageBreak/>
              <w:t>5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6331D5FF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国有土地上</w:t>
            </w:r>
          </w:p>
          <w:p w14:paraId="6CABF405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房屋收购评估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010920B3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0AE1351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3BD89C03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119BA33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3008FD3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2BA64FEB" w14:textId="77777777">
        <w:trPr>
          <w:trHeight w:val="702"/>
        </w:trPr>
        <w:tc>
          <w:tcPr>
            <w:tcW w:w="583" w:type="dxa"/>
            <w:vAlign w:val="center"/>
          </w:tcPr>
          <w:p w14:paraId="524902ED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7846BA90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集体土地征收</w:t>
            </w:r>
          </w:p>
          <w:p w14:paraId="245DC27C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补偿评估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7FBB0A4C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56D70B01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3C1B01AA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02E402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4834D783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6C46414C" w14:textId="77777777">
        <w:trPr>
          <w:trHeight w:val="660"/>
        </w:trPr>
        <w:tc>
          <w:tcPr>
            <w:tcW w:w="583" w:type="dxa"/>
            <w:vAlign w:val="center"/>
          </w:tcPr>
          <w:p w14:paraId="78EF0D1C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12E6785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房地产</w:t>
            </w:r>
          </w:p>
          <w:p w14:paraId="16D8AE9E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司法评估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15529DC8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39C2CBE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530F75D8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0624A51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2F15A1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5BF5D1E7" w14:textId="77777777">
        <w:trPr>
          <w:trHeight w:val="880"/>
        </w:trPr>
        <w:tc>
          <w:tcPr>
            <w:tcW w:w="583" w:type="dxa"/>
            <w:vAlign w:val="center"/>
          </w:tcPr>
          <w:p w14:paraId="04C77150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8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46B7694F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房屋租赁</w:t>
            </w:r>
          </w:p>
          <w:p w14:paraId="45C420FC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价格评估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3F3CF9D9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7498E29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56889720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17ACB675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AB8653D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47E40BD7" w14:textId="77777777">
        <w:trPr>
          <w:trHeight w:val="852"/>
        </w:trPr>
        <w:tc>
          <w:tcPr>
            <w:tcW w:w="583" w:type="dxa"/>
            <w:vAlign w:val="center"/>
          </w:tcPr>
          <w:p w14:paraId="7DE4784A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9</w:t>
            </w:r>
          </w:p>
        </w:tc>
        <w:tc>
          <w:tcPr>
            <w:tcW w:w="1667" w:type="dxa"/>
            <w:tcBorders>
              <w:right w:val="nil"/>
            </w:tcBorders>
            <w:vAlign w:val="center"/>
          </w:tcPr>
          <w:p w14:paraId="4FAFAF79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其他目的</w:t>
            </w:r>
          </w:p>
          <w:p w14:paraId="1FCD6A59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房地产评估</w:t>
            </w:r>
          </w:p>
        </w:tc>
        <w:tc>
          <w:tcPr>
            <w:tcW w:w="1583" w:type="dxa"/>
            <w:tcBorders>
              <w:right w:val="nil"/>
            </w:tcBorders>
            <w:vAlign w:val="center"/>
          </w:tcPr>
          <w:p w14:paraId="52F9FB09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51473A7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1F7EAF32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F51950F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1B9EC4A9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1567AC3D" w14:textId="77777777">
        <w:trPr>
          <w:trHeight w:val="822"/>
        </w:trPr>
        <w:tc>
          <w:tcPr>
            <w:tcW w:w="583" w:type="dxa"/>
            <w:vAlign w:val="center"/>
          </w:tcPr>
          <w:p w14:paraId="53ECF1EB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</w:t>
            </w:r>
          </w:p>
        </w:tc>
        <w:tc>
          <w:tcPr>
            <w:tcW w:w="1667" w:type="dxa"/>
            <w:vAlign w:val="center"/>
          </w:tcPr>
          <w:p w14:paraId="7C55A2BD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房地产</w:t>
            </w:r>
          </w:p>
          <w:p w14:paraId="2A4D9903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咨询服务</w:t>
            </w:r>
          </w:p>
        </w:tc>
        <w:tc>
          <w:tcPr>
            <w:tcW w:w="1583" w:type="dxa"/>
            <w:vAlign w:val="center"/>
          </w:tcPr>
          <w:p w14:paraId="31D7704B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D9DB729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CB83F1A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2241EC9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3438601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495A80" w14:paraId="20A0593C" w14:textId="77777777">
        <w:trPr>
          <w:trHeight w:val="822"/>
        </w:trPr>
        <w:tc>
          <w:tcPr>
            <w:tcW w:w="583" w:type="dxa"/>
            <w:vAlign w:val="center"/>
          </w:tcPr>
          <w:p w14:paraId="45D423BB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11</w:t>
            </w:r>
          </w:p>
        </w:tc>
        <w:tc>
          <w:tcPr>
            <w:tcW w:w="1667" w:type="dxa"/>
            <w:vAlign w:val="center"/>
          </w:tcPr>
          <w:p w14:paraId="3A7605E1" w14:textId="77777777" w:rsidR="00495A80" w:rsidRDefault="0000000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其他业务收入</w:t>
            </w:r>
          </w:p>
        </w:tc>
        <w:tc>
          <w:tcPr>
            <w:tcW w:w="1583" w:type="dxa"/>
            <w:vAlign w:val="center"/>
          </w:tcPr>
          <w:p w14:paraId="24C79467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50F9658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1A396C2C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E04320E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5290F656" w14:textId="77777777" w:rsidR="00495A80" w:rsidRDefault="00495A80">
            <w:pPr>
              <w:jc w:val="center"/>
              <w:rPr>
                <w:rFonts w:ascii="宋体" w:hAnsi="宋体" w:cs="宋体" w:hint="eastAsia"/>
                <w:bCs/>
                <w:szCs w:val="21"/>
              </w:rPr>
            </w:pPr>
          </w:p>
        </w:tc>
      </w:tr>
    </w:tbl>
    <w:p w14:paraId="7EEDA38A" w14:textId="77777777" w:rsidR="00495A80" w:rsidRDefault="00495A80">
      <w:pPr>
        <w:rPr>
          <w:rFonts w:ascii="宋体" w:hAnsi="宋体" w:hint="eastAsia"/>
        </w:rPr>
      </w:pPr>
    </w:p>
    <w:p w14:paraId="41B67A2A" w14:textId="77777777" w:rsidR="00495A80" w:rsidRDefault="00495A80">
      <w:pPr>
        <w:rPr>
          <w:rFonts w:ascii="宋体" w:hAnsi="宋体" w:hint="eastAsia"/>
        </w:rPr>
      </w:pPr>
    </w:p>
    <w:p w14:paraId="72DA3F18" w14:textId="77777777" w:rsidR="00495A80" w:rsidRDefault="00000000">
      <w:pPr>
        <w:spacing w:line="560" w:lineRule="exact"/>
        <w:rPr>
          <w:rFonts w:ascii="宋体" w:hAnsi="宋体" w:hint="eastAsia"/>
        </w:rPr>
      </w:pPr>
      <w:r>
        <w:rPr>
          <w:rFonts w:ascii="宋体" w:hAnsi="宋体" w:hint="eastAsia"/>
        </w:rPr>
        <w:t>附件：</w:t>
      </w:r>
    </w:p>
    <w:p w14:paraId="30BE4C5C" w14:textId="77777777" w:rsidR="00495A80" w:rsidRDefault="00000000">
      <w:pPr>
        <w:spacing w:line="560" w:lineRule="exact"/>
        <w:rPr>
          <w:rFonts w:ascii="宋体" w:hAnsi="宋体" w:hint="eastAsia"/>
        </w:rPr>
      </w:pPr>
      <w:r>
        <w:rPr>
          <w:rFonts w:ascii="宋体" w:hAnsi="宋体" w:hint="eastAsia"/>
        </w:rPr>
        <w:t>1.《资产负债表》</w:t>
      </w:r>
    </w:p>
    <w:p w14:paraId="54CF534A" w14:textId="77777777" w:rsidR="00495A80" w:rsidRDefault="00000000">
      <w:pPr>
        <w:spacing w:line="560" w:lineRule="exact"/>
        <w:rPr>
          <w:rFonts w:ascii="宋体" w:hAnsi="宋体" w:hint="eastAsia"/>
        </w:rPr>
      </w:pPr>
      <w:r>
        <w:rPr>
          <w:rFonts w:ascii="宋体" w:hAnsi="宋体" w:hint="eastAsia"/>
        </w:rPr>
        <w:t>2.《利润表》</w:t>
      </w:r>
    </w:p>
    <w:p w14:paraId="1B53F5FF" w14:textId="77777777" w:rsidR="00495A80" w:rsidRDefault="00000000">
      <w:pPr>
        <w:spacing w:line="560" w:lineRule="exact"/>
        <w:rPr>
          <w:rFonts w:ascii="宋体" w:hAnsi="宋体" w:hint="eastAsia"/>
        </w:rPr>
      </w:pPr>
      <w:r>
        <w:rPr>
          <w:rFonts w:ascii="宋体" w:hAnsi="宋体" w:hint="eastAsia"/>
        </w:rPr>
        <w:t>3.《税收完税证明》</w:t>
      </w:r>
    </w:p>
    <w:p w14:paraId="464B36D0" w14:textId="77777777" w:rsidR="00495A80" w:rsidRDefault="00495A80">
      <w:pPr>
        <w:rPr>
          <w:rFonts w:ascii="仿宋_GB2312" w:eastAsia="仿宋_GB2312" w:hAnsi="宋体" w:hint="eastAsia"/>
          <w:sz w:val="30"/>
          <w:szCs w:val="30"/>
        </w:rPr>
      </w:pPr>
    </w:p>
    <w:sectPr w:rsidR="00495A80">
      <w:footerReference w:type="even" r:id="rId6"/>
      <w:pgSz w:w="11906" w:h="16838"/>
      <w:pgMar w:top="1440" w:right="1800" w:bottom="1440" w:left="180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DD2BC" w14:textId="77777777" w:rsidR="00401063" w:rsidRDefault="00401063">
      <w:r>
        <w:separator/>
      </w:r>
    </w:p>
  </w:endnote>
  <w:endnote w:type="continuationSeparator" w:id="0">
    <w:p w14:paraId="41C1CC87" w14:textId="77777777" w:rsidR="00401063" w:rsidRDefault="0040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35FA" w14:textId="77777777" w:rsidR="00495A80" w:rsidRDefault="00000000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EBCF557" w14:textId="77777777" w:rsidR="00495A80" w:rsidRDefault="00495A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CEAA6" w14:textId="77777777" w:rsidR="00401063" w:rsidRDefault="00401063">
      <w:r>
        <w:separator/>
      </w:r>
    </w:p>
  </w:footnote>
  <w:footnote w:type="continuationSeparator" w:id="0">
    <w:p w14:paraId="2E8811C8" w14:textId="77777777" w:rsidR="00401063" w:rsidRDefault="00401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EB"/>
    <w:rsid w:val="000157D8"/>
    <w:rsid w:val="00015D12"/>
    <w:rsid w:val="00060ED0"/>
    <w:rsid w:val="00064449"/>
    <w:rsid w:val="000953BA"/>
    <w:rsid w:val="000B629B"/>
    <w:rsid w:val="00132053"/>
    <w:rsid w:val="00156616"/>
    <w:rsid w:val="00192D01"/>
    <w:rsid w:val="00194FA1"/>
    <w:rsid w:val="001A519C"/>
    <w:rsid w:val="001F75C7"/>
    <w:rsid w:val="002070F2"/>
    <w:rsid w:val="0023626B"/>
    <w:rsid w:val="00281D0E"/>
    <w:rsid w:val="00282709"/>
    <w:rsid w:val="002E6BFE"/>
    <w:rsid w:val="002F62F5"/>
    <w:rsid w:val="00347B7A"/>
    <w:rsid w:val="00357C6D"/>
    <w:rsid w:val="00385D5F"/>
    <w:rsid w:val="0039690B"/>
    <w:rsid w:val="003C7552"/>
    <w:rsid w:val="003E50C6"/>
    <w:rsid w:val="003F1F74"/>
    <w:rsid w:val="00401063"/>
    <w:rsid w:val="00425493"/>
    <w:rsid w:val="004322CB"/>
    <w:rsid w:val="0047176B"/>
    <w:rsid w:val="004755EE"/>
    <w:rsid w:val="00495A80"/>
    <w:rsid w:val="004B1B3B"/>
    <w:rsid w:val="004C0BE0"/>
    <w:rsid w:val="004E0148"/>
    <w:rsid w:val="004E4F3F"/>
    <w:rsid w:val="00513EE5"/>
    <w:rsid w:val="00530981"/>
    <w:rsid w:val="00570C58"/>
    <w:rsid w:val="005B0A0B"/>
    <w:rsid w:val="005D7816"/>
    <w:rsid w:val="0060311A"/>
    <w:rsid w:val="00607BEC"/>
    <w:rsid w:val="00627089"/>
    <w:rsid w:val="00635D2B"/>
    <w:rsid w:val="006430CA"/>
    <w:rsid w:val="006471EC"/>
    <w:rsid w:val="006609FF"/>
    <w:rsid w:val="006C0951"/>
    <w:rsid w:val="006C7DF9"/>
    <w:rsid w:val="006D7ED8"/>
    <w:rsid w:val="006E2069"/>
    <w:rsid w:val="007744BE"/>
    <w:rsid w:val="007A181A"/>
    <w:rsid w:val="007C7692"/>
    <w:rsid w:val="007F3606"/>
    <w:rsid w:val="007F61C6"/>
    <w:rsid w:val="008142C7"/>
    <w:rsid w:val="00820899"/>
    <w:rsid w:val="008443B7"/>
    <w:rsid w:val="00861578"/>
    <w:rsid w:val="00884600"/>
    <w:rsid w:val="008E62AE"/>
    <w:rsid w:val="009544CE"/>
    <w:rsid w:val="00992586"/>
    <w:rsid w:val="00993BFA"/>
    <w:rsid w:val="009C49A9"/>
    <w:rsid w:val="00A121BB"/>
    <w:rsid w:val="00A27D22"/>
    <w:rsid w:val="00AD379D"/>
    <w:rsid w:val="00AE26C9"/>
    <w:rsid w:val="00B0215B"/>
    <w:rsid w:val="00B02C55"/>
    <w:rsid w:val="00B118C5"/>
    <w:rsid w:val="00B302EB"/>
    <w:rsid w:val="00B35A30"/>
    <w:rsid w:val="00B47C76"/>
    <w:rsid w:val="00B6385D"/>
    <w:rsid w:val="00B91F82"/>
    <w:rsid w:val="00BC043A"/>
    <w:rsid w:val="00C12ED1"/>
    <w:rsid w:val="00C458A2"/>
    <w:rsid w:val="00CB0813"/>
    <w:rsid w:val="00CD4E40"/>
    <w:rsid w:val="00CD68F8"/>
    <w:rsid w:val="00CF4060"/>
    <w:rsid w:val="00D44672"/>
    <w:rsid w:val="00D53EE6"/>
    <w:rsid w:val="00D67A08"/>
    <w:rsid w:val="00D71A19"/>
    <w:rsid w:val="00D97AB9"/>
    <w:rsid w:val="00DA3CD9"/>
    <w:rsid w:val="00DD4BEC"/>
    <w:rsid w:val="00E03AAD"/>
    <w:rsid w:val="00E14ED0"/>
    <w:rsid w:val="00E16F17"/>
    <w:rsid w:val="00E90AC5"/>
    <w:rsid w:val="00F172D9"/>
    <w:rsid w:val="00F40CEF"/>
    <w:rsid w:val="00F54736"/>
    <w:rsid w:val="00F67A3C"/>
    <w:rsid w:val="00F866DD"/>
    <w:rsid w:val="00FA3DE1"/>
    <w:rsid w:val="00FA7F45"/>
    <w:rsid w:val="00FB65D7"/>
    <w:rsid w:val="00FD2131"/>
    <w:rsid w:val="04FD732A"/>
    <w:rsid w:val="0C93641A"/>
    <w:rsid w:val="18F21186"/>
    <w:rsid w:val="1D3A2267"/>
    <w:rsid w:val="20FA7F20"/>
    <w:rsid w:val="218613FB"/>
    <w:rsid w:val="38B642D4"/>
    <w:rsid w:val="4AD14F9E"/>
    <w:rsid w:val="4E632D8D"/>
    <w:rsid w:val="56A401DA"/>
    <w:rsid w:val="576B3295"/>
    <w:rsid w:val="5C840D54"/>
    <w:rsid w:val="71E256D5"/>
    <w:rsid w:val="72226E86"/>
    <w:rsid w:val="7614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9301D"/>
  <w15:docId w15:val="{51E3356B-08A1-422F-88C5-616945AE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uiPriority="0"/>
    <w:lsdException w:name="Table Theme" w:locked="1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/>
      <w:pBdr>
        <w:bottom w:val="single" w:sz="12" w:space="1" w:color="365F91"/>
      </w:pBdr>
      <w:spacing w:before="600" w:after="80"/>
      <w:jc w:val="left"/>
      <w:outlineLvl w:val="0"/>
    </w:pPr>
    <w:rPr>
      <w:rFonts w:ascii="Cambria" w:hAnsi="Cambria"/>
      <w:b/>
      <w:bCs/>
      <w:color w:val="365F91"/>
      <w:kern w:val="0"/>
      <w:sz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widowControl/>
      <w:pBdr>
        <w:bottom w:val="single" w:sz="8" w:space="1" w:color="4F81BD"/>
      </w:pBdr>
      <w:spacing w:before="200" w:after="80"/>
      <w:jc w:val="left"/>
      <w:outlineLvl w:val="1"/>
    </w:pPr>
    <w:rPr>
      <w:rFonts w:ascii="Cambria" w:hAnsi="Cambria"/>
      <w:color w:val="365F91"/>
      <w:kern w:val="0"/>
      <w:sz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widowControl/>
      <w:pBdr>
        <w:bottom w:val="single" w:sz="4" w:space="1" w:color="95B3D7"/>
      </w:pBdr>
      <w:spacing w:before="200" w:after="80"/>
      <w:jc w:val="left"/>
      <w:outlineLvl w:val="2"/>
    </w:pPr>
    <w:rPr>
      <w:rFonts w:ascii="Cambria" w:hAnsi="Cambria"/>
      <w:color w:val="4F81BD"/>
      <w:kern w:val="0"/>
      <w:sz w:val="24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widowControl/>
      <w:pBdr>
        <w:bottom w:val="single" w:sz="4" w:space="2" w:color="B8CCE4"/>
      </w:pBdr>
      <w:spacing w:before="200" w:after="80"/>
      <w:jc w:val="left"/>
      <w:outlineLvl w:val="3"/>
    </w:pPr>
    <w:rPr>
      <w:rFonts w:ascii="Cambria" w:hAnsi="Cambria"/>
      <w:i/>
      <w:iCs/>
      <w:color w:val="4F81BD"/>
      <w:kern w:val="0"/>
      <w:sz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00" w:after="80"/>
      <w:jc w:val="left"/>
      <w:outlineLvl w:val="4"/>
    </w:pPr>
    <w:rPr>
      <w:rFonts w:ascii="Cambria" w:hAnsi="Cambria"/>
      <w:color w:val="4F81BD"/>
      <w:kern w:val="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80" w:after="100"/>
      <w:jc w:val="left"/>
      <w:outlineLvl w:val="5"/>
    </w:pPr>
    <w:rPr>
      <w:rFonts w:ascii="Cambria" w:hAnsi="Cambria"/>
      <w:i/>
      <w:iCs/>
      <w:color w:val="4F81BD"/>
      <w:kern w:val="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320" w:after="100"/>
      <w:jc w:val="left"/>
      <w:outlineLvl w:val="6"/>
    </w:pPr>
    <w:rPr>
      <w:rFonts w:ascii="Cambria" w:hAnsi="Cambria"/>
      <w:b/>
      <w:bCs/>
      <w:color w:val="9BBB59"/>
      <w:kern w:val="0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320" w:after="100"/>
      <w:jc w:val="left"/>
      <w:outlineLvl w:val="7"/>
    </w:pPr>
    <w:rPr>
      <w:rFonts w:ascii="Cambria" w:hAnsi="Cambria"/>
      <w:b/>
      <w:bCs/>
      <w:i/>
      <w:iCs/>
      <w:color w:val="9BBB59"/>
      <w:kern w:val="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320" w:after="100"/>
      <w:jc w:val="left"/>
      <w:outlineLvl w:val="8"/>
    </w:pPr>
    <w:rPr>
      <w:rFonts w:ascii="Cambria" w:hAnsi="Cambria"/>
      <w:i/>
      <w:iCs/>
      <w:color w:val="9BBB59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/>
    </w:r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uiPriority w:val="99"/>
    <w:qFormat/>
    <w:pPr>
      <w:widowControl/>
      <w:spacing w:before="200" w:after="900"/>
      <w:jc w:val="right"/>
    </w:pPr>
    <w:rPr>
      <w:rFonts w:ascii="Calibri" w:hAnsi="Calibri"/>
      <w:i/>
      <w:iCs/>
      <w:kern w:val="0"/>
      <w:sz w:val="24"/>
      <w:lang w:eastAsia="en-US"/>
    </w:rPr>
  </w:style>
  <w:style w:type="paragraph" w:styleId="ac">
    <w:name w:val="Title"/>
    <w:basedOn w:val="a"/>
    <w:next w:val="a"/>
    <w:link w:val="ad"/>
    <w:uiPriority w:val="99"/>
    <w:qFormat/>
    <w:pPr>
      <w:widowControl/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kern w:val="0"/>
      <w:sz w:val="60"/>
      <w:szCs w:val="60"/>
      <w:lang w:eastAsia="en-US"/>
    </w:rPr>
  </w:style>
  <w:style w:type="character" w:styleId="ae">
    <w:name w:val="Strong"/>
    <w:basedOn w:val="a0"/>
    <w:uiPriority w:val="99"/>
    <w:qFormat/>
    <w:rPr>
      <w:rFonts w:cs="Times New Roman"/>
      <w:b/>
      <w:bCs/>
      <w:spacing w:val="0"/>
    </w:r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Emphasis"/>
    <w:basedOn w:val="a0"/>
    <w:uiPriority w:val="99"/>
    <w:qFormat/>
    <w:rPr>
      <w:rFonts w:cs="Times New Roman"/>
      <w:b/>
      <w:i/>
      <w:color w:val="5A5A5A"/>
    </w:rPr>
  </w:style>
  <w:style w:type="character" w:customStyle="1" w:styleId="10">
    <w:name w:val="标题 1 字符"/>
    <w:basedOn w:val="a0"/>
    <w:link w:val="1"/>
    <w:uiPriority w:val="99"/>
    <w:qFormat/>
    <w:locked/>
    <w:rPr>
      <w:rFonts w:ascii="Cambria" w:eastAsia="宋体" w:hAnsi="Cambria" w:cs="Times New Roman"/>
      <w:b/>
      <w:bCs/>
      <w:color w:val="365F91"/>
      <w:sz w:val="24"/>
      <w:szCs w:val="24"/>
    </w:rPr>
  </w:style>
  <w:style w:type="character" w:customStyle="1" w:styleId="20">
    <w:name w:val="标题 2 字符"/>
    <w:basedOn w:val="a0"/>
    <w:link w:val="2"/>
    <w:uiPriority w:val="99"/>
    <w:semiHidden/>
    <w:qFormat/>
    <w:locked/>
    <w:rPr>
      <w:rFonts w:ascii="Cambria" w:eastAsia="宋体" w:hAnsi="Cambria" w:cs="Times New Roman"/>
      <w:color w:val="365F91"/>
      <w:sz w:val="24"/>
      <w:szCs w:val="24"/>
    </w:rPr>
  </w:style>
  <w:style w:type="character" w:customStyle="1" w:styleId="30">
    <w:name w:val="标题 3 字符"/>
    <w:basedOn w:val="a0"/>
    <w:link w:val="3"/>
    <w:uiPriority w:val="99"/>
    <w:semiHidden/>
    <w:qFormat/>
    <w:locked/>
    <w:rPr>
      <w:rFonts w:ascii="Cambria" w:eastAsia="宋体" w:hAnsi="Cambria" w:cs="Times New Roman"/>
      <w:color w:val="4F81BD"/>
      <w:sz w:val="24"/>
      <w:szCs w:val="24"/>
    </w:rPr>
  </w:style>
  <w:style w:type="character" w:customStyle="1" w:styleId="40">
    <w:name w:val="标题 4 字符"/>
    <w:basedOn w:val="a0"/>
    <w:link w:val="4"/>
    <w:uiPriority w:val="99"/>
    <w:semiHidden/>
    <w:qFormat/>
    <w:locked/>
    <w:rPr>
      <w:rFonts w:ascii="Cambria" w:eastAsia="宋体" w:hAnsi="Cambria" w:cs="Times New Roman"/>
      <w:i/>
      <w:iCs/>
      <w:color w:val="4F81BD"/>
      <w:sz w:val="24"/>
      <w:szCs w:val="24"/>
    </w:rPr>
  </w:style>
  <w:style w:type="character" w:customStyle="1" w:styleId="50">
    <w:name w:val="标题 5 字符"/>
    <w:basedOn w:val="a0"/>
    <w:link w:val="5"/>
    <w:uiPriority w:val="99"/>
    <w:semiHidden/>
    <w:qFormat/>
    <w:locked/>
    <w:rPr>
      <w:rFonts w:ascii="Cambria" w:eastAsia="宋体" w:hAnsi="Cambria" w:cs="Times New Roman"/>
      <w:color w:val="4F81BD"/>
    </w:rPr>
  </w:style>
  <w:style w:type="character" w:customStyle="1" w:styleId="60">
    <w:name w:val="标题 6 字符"/>
    <w:basedOn w:val="a0"/>
    <w:link w:val="6"/>
    <w:uiPriority w:val="99"/>
    <w:semiHidden/>
    <w:qFormat/>
    <w:locked/>
    <w:rPr>
      <w:rFonts w:ascii="Cambria" w:eastAsia="宋体" w:hAnsi="Cambria" w:cs="Times New Roman"/>
      <w:i/>
      <w:iCs/>
      <w:color w:val="4F81BD"/>
    </w:rPr>
  </w:style>
  <w:style w:type="character" w:customStyle="1" w:styleId="70">
    <w:name w:val="标题 7 字符"/>
    <w:basedOn w:val="a0"/>
    <w:link w:val="7"/>
    <w:uiPriority w:val="99"/>
    <w:semiHidden/>
    <w:qFormat/>
    <w:locked/>
    <w:rPr>
      <w:rFonts w:ascii="Cambria" w:eastAsia="宋体" w:hAnsi="Cambria" w:cs="Times New Roman"/>
      <w:b/>
      <w:bCs/>
      <w:color w:val="9BBB59"/>
      <w:sz w:val="20"/>
      <w:szCs w:val="20"/>
    </w:rPr>
  </w:style>
  <w:style w:type="character" w:customStyle="1" w:styleId="80">
    <w:name w:val="标题 8 字符"/>
    <w:basedOn w:val="a0"/>
    <w:link w:val="8"/>
    <w:uiPriority w:val="99"/>
    <w:semiHidden/>
    <w:qFormat/>
    <w:locked/>
    <w:rPr>
      <w:rFonts w:ascii="Cambria" w:eastAsia="宋体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标题 9 字符"/>
    <w:basedOn w:val="a0"/>
    <w:link w:val="9"/>
    <w:uiPriority w:val="99"/>
    <w:semiHidden/>
    <w:qFormat/>
    <w:locked/>
    <w:rPr>
      <w:rFonts w:ascii="Cambria" w:eastAsia="宋体" w:hAnsi="Cambria" w:cs="Times New Roman"/>
      <w:i/>
      <w:iCs/>
      <w:color w:val="9BBB59"/>
      <w:sz w:val="20"/>
      <w:szCs w:val="20"/>
    </w:rPr>
  </w:style>
  <w:style w:type="character" w:customStyle="1" w:styleId="ad">
    <w:name w:val="标题 字符"/>
    <w:basedOn w:val="a0"/>
    <w:link w:val="ac"/>
    <w:uiPriority w:val="99"/>
    <w:qFormat/>
    <w:locked/>
    <w:rPr>
      <w:rFonts w:ascii="Cambria" w:eastAsia="宋体" w:hAnsi="Cambria" w:cs="Times New Roman"/>
      <w:i/>
      <w:iCs/>
      <w:color w:val="243F60"/>
      <w:sz w:val="60"/>
      <w:szCs w:val="60"/>
    </w:rPr>
  </w:style>
  <w:style w:type="character" w:customStyle="1" w:styleId="ab">
    <w:name w:val="副标题 字符"/>
    <w:basedOn w:val="a0"/>
    <w:link w:val="aa"/>
    <w:uiPriority w:val="99"/>
    <w:qFormat/>
    <w:locked/>
    <w:rPr>
      <w:rFonts w:ascii="Calibri" w:cs="Times New Roman"/>
      <w:i/>
      <w:iCs/>
      <w:sz w:val="24"/>
      <w:szCs w:val="24"/>
    </w:rPr>
  </w:style>
  <w:style w:type="paragraph" w:styleId="af1">
    <w:name w:val="No Spacing"/>
    <w:basedOn w:val="a"/>
    <w:link w:val="af2"/>
    <w:uiPriority w:val="99"/>
    <w:qFormat/>
    <w:pPr>
      <w:widowControl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f2">
    <w:name w:val="无间隔 字符"/>
    <w:basedOn w:val="a0"/>
    <w:link w:val="af1"/>
    <w:uiPriority w:val="99"/>
    <w:qFormat/>
    <w:locked/>
    <w:rPr>
      <w:rFonts w:cs="Times New Roman"/>
    </w:rPr>
  </w:style>
  <w:style w:type="paragraph" w:styleId="af3">
    <w:name w:val="List Paragraph"/>
    <w:basedOn w:val="a"/>
    <w:uiPriority w:val="99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f4">
    <w:name w:val="Quote"/>
    <w:basedOn w:val="a"/>
    <w:next w:val="a"/>
    <w:link w:val="af5"/>
    <w:uiPriority w:val="9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2"/>
      <w:szCs w:val="22"/>
      <w:lang w:eastAsia="en-US"/>
    </w:rPr>
  </w:style>
  <w:style w:type="character" w:customStyle="1" w:styleId="af5">
    <w:name w:val="引用 字符"/>
    <w:basedOn w:val="a0"/>
    <w:link w:val="af4"/>
    <w:uiPriority w:val="99"/>
    <w:qFormat/>
    <w:locked/>
    <w:rPr>
      <w:rFonts w:ascii="Cambria" w:eastAsia="宋体" w:hAnsi="Cambria" w:cs="Times New Roman"/>
      <w:i/>
      <w:iCs/>
      <w:color w:val="5A5A5A"/>
    </w:rPr>
  </w:style>
  <w:style w:type="paragraph" w:styleId="af6">
    <w:name w:val="Intense Quote"/>
    <w:basedOn w:val="a"/>
    <w:next w:val="a"/>
    <w:link w:val="af7"/>
    <w:uiPriority w:val="99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lang w:eastAsia="en-US"/>
    </w:rPr>
  </w:style>
  <w:style w:type="character" w:customStyle="1" w:styleId="af7">
    <w:name w:val="明显引用 字符"/>
    <w:basedOn w:val="a0"/>
    <w:link w:val="af6"/>
    <w:uiPriority w:val="99"/>
    <w:qFormat/>
    <w:locked/>
    <w:rPr>
      <w:rFonts w:ascii="Cambria" w:eastAsia="宋体" w:hAnsi="Cambria" w:cs="Times New Roman"/>
      <w:i/>
      <w:iCs/>
      <w:color w:val="FFFFFF"/>
      <w:sz w:val="24"/>
      <w:szCs w:val="24"/>
      <w:shd w:val="clear" w:color="auto" w:fill="4F81BD"/>
    </w:rPr>
  </w:style>
  <w:style w:type="character" w:customStyle="1" w:styleId="11">
    <w:name w:val="不明显强调1"/>
    <w:basedOn w:val="a0"/>
    <w:uiPriority w:val="99"/>
    <w:qFormat/>
    <w:rPr>
      <w:rFonts w:cs="Times New Roman"/>
      <w:i/>
      <w:color w:val="5A5A5A"/>
    </w:rPr>
  </w:style>
  <w:style w:type="character" w:customStyle="1" w:styleId="12">
    <w:name w:val="明显强调1"/>
    <w:basedOn w:val="a0"/>
    <w:uiPriority w:val="99"/>
    <w:qFormat/>
    <w:rPr>
      <w:rFonts w:cs="Times New Roman"/>
      <w:b/>
      <w:i/>
      <w:color w:val="4F81BD"/>
      <w:sz w:val="22"/>
    </w:rPr>
  </w:style>
  <w:style w:type="character" w:customStyle="1" w:styleId="13">
    <w:name w:val="不明显参考1"/>
    <w:basedOn w:val="a0"/>
    <w:uiPriority w:val="99"/>
    <w:qFormat/>
    <w:rPr>
      <w:rFonts w:cs="Times New Roman"/>
      <w:color w:val="auto"/>
      <w:u w:val="single" w:color="9BBB59"/>
    </w:rPr>
  </w:style>
  <w:style w:type="character" w:customStyle="1" w:styleId="14">
    <w:name w:val="明显参考1"/>
    <w:basedOn w:val="a0"/>
    <w:uiPriority w:val="99"/>
    <w:qFormat/>
    <w:rPr>
      <w:rFonts w:cs="Times New Roman"/>
      <w:b/>
      <w:bCs/>
      <w:color w:val="76923C"/>
      <w:u w:val="single" w:color="9BBB59"/>
    </w:rPr>
  </w:style>
  <w:style w:type="character" w:customStyle="1" w:styleId="15">
    <w:name w:val="书籍标题1"/>
    <w:basedOn w:val="a0"/>
    <w:uiPriority w:val="99"/>
    <w:qFormat/>
    <w:rPr>
      <w:rFonts w:ascii="Cambria" w:eastAsia="宋体" w:hAnsi="Cambria" w:cs="Times New Roman"/>
      <w:b/>
      <w:bCs/>
      <w:i/>
      <w:iCs/>
      <w:color w:val="auto"/>
    </w:rPr>
  </w:style>
  <w:style w:type="paragraph" w:customStyle="1" w:styleId="TOC1">
    <w:name w:val="TOC 标题1"/>
    <w:basedOn w:val="1"/>
    <w:next w:val="a"/>
    <w:uiPriority w:val="99"/>
    <w:qFormat/>
    <w:pPr>
      <w:outlineLvl w:val="9"/>
    </w:pPr>
  </w:style>
  <w:style w:type="character" w:customStyle="1" w:styleId="a9">
    <w:name w:val="页眉 字符"/>
    <w:basedOn w:val="a0"/>
    <w:link w:val="a8"/>
    <w:uiPriority w:val="99"/>
    <w:qFormat/>
    <w:locked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character" w:customStyle="1" w:styleId="a7">
    <w:name w:val="页脚 字符"/>
    <w:basedOn w:val="a0"/>
    <w:link w:val="a6"/>
    <w:uiPriority w:val="99"/>
    <w:qFormat/>
    <w:locked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paragraph" w:customStyle="1" w:styleId="xl25">
    <w:name w:val="xl25"/>
    <w:basedOn w:val="a"/>
    <w:uiPriority w:val="99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/>
      <w:kern w:val="0"/>
      <w:sz w:val="24"/>
    </w:rPr>
  </w:style>
  <w:style w:type="character" w:customStyle="1" w:styleId="a5">
    <w:name w:val="批注框文本 字符"/>
    <w:basedOn w:val="a0"/>
    <w:link w:val="a4"/>
    <w:uiPriority w:val="99"/>
    <w:semiHidden/>
    <w:qFormat/>
    <w:locked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536</Words>
  <Characters>548</Characters>
  <Application>Microsoft Office Word</Application>
  <DocSecurity>0</DocSecurity>
  <Lines>274</Lines>
  <Paragraphs>180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user</dc:creator>
  <cp:lastModifiedBy>zoe row</cp:lastModifiedBy>
  <cp:revision>2</cp:revision>
  <cp:lastPrinted>2021-01-04T02:10:00Z</cp:lastPrinted>
  <dcterms:created xsi:type="dcterms:W3CDTF">2026-03-04T01:54:00Z</dcterms:created>
  <dcterms:modified xsi:type="dcterms:W3CDTF">2026-03-04T01:54:00Z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eyJoZGlkIjoiZDljOTdiM2IyYTUxYTE0Yjc3YmJmYjIxZjk2NTdlNjkiLCJ1c2VySWQiOiIxNzY0MDQ5NDI3In0=</vt:lpwstr>
  </property>
  <property fmtid="{D5CDD505-2E9C-101B-9397-08002B2CF9AE}" pid="3" name="KSOProductBuildVer">
    <vt:lpwstr>2052-12.1.0.25225</vt:lpwstr>
  </property>
  <property fmtid="{D5CDD505-2E9C-101B-9397-08002B2CF9AE}" pid="4" name="ICV">
    <vt:lpwstr>26A095A792784ED6953657031A6D8443_13</vt:lpwstr>
  </property>
</Properties>
</file>